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46" w:rsidRPr="00F10585" w:rsidRDefault="000E2746" w:rsidP="00734CE3">
      <w:pPr>
        <w:jc w:val="both"/>
        <w:rPr>
          <w:rFonts w:ascii="Times New Roman" w:hAnsi="Times New Roman" w:cs="Times New Roman"/>
        </w:rPr>
      </w:pPr>
      <w:r w:rsidRPr="00F10585">
        <w:rPr>
          <w:rFonts w:ascii="Times New Roman" w:hAnsi="Times New Roman" w:cs="Times New Roman"/>
        </w:rPr>
        <w:t>8.3 – Tratamento de Recomendações da Auditoria Interna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986"/>
        <w:gridCol w:w="2755"/>
        <w:gridCol w:w="3351"/>
      </w:tblGrid>
      <w:tr w:rsidR="000E2746" w:rsidRPr="00F10585" w:rsidTr="00D63E39">
        <w:tc>
          <w:tcPr>
            <w:tcW w:w="8494" w:type="dxa"/>
            <w:gridSpan w:val="4"/>
            <w:shd w:val="clear" w:color="auto" w:fill="BFBFBF" w:themeFill="background1" w:themeFillShade="BF"/>
          </w:tcPr>
          <w:p w:rsidR="000E2746" w:rsidRPr="00F10585" w:rsidRDefault="000E2746" w:rsidP="00F1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85">
              <w:rPr>
                <w:rFonts w:ascii="Times New Roman" w:hAnsi="Times New Roman" w:cs="Times New Roman"/>
                <w:b/>
              </w:rPr>
              <w:t>Quadro da situação</w:t>
            </w:r>
            <w:r w:rsidR="00F10585">
              <w:rPr>
                <w:rFonts w:ascii="Times New Roman" w:hAnsi="Times New Roman" w:cs="Times New Roman"/>
                <w:b/>
              </w:rPr>
              <w:t xml:space="preserve"> de atendimento das demandas do CONSELHO FISCAL</w:t>
            </w:r>
            <w:bookmarkStart w:id="0" w:name="_GoBack"/>
            <w:bookmarkEnd w:id="0"/>
          </w:p>
        </w:tc>
      </w:tr>
      <w:tr w:rsidR="00291A02" w:rsidRPr="00F10585" w:rsidTr="00217221">
        <w:tc>
          <w:tcPr>
            <w:tcW w:w="1405" w:type="dxa"/>
            <w:shd w:val="clear" w:color="auto" w:fill="F2F2F2" w:themeFill="background1" w:themeFillShade="F2"/>
          </w:tcPr>
          <w:p w:rsidR="000E2746" w:rsidRPr="00F10585" w:rsidRDefault="000E2746" w:rsidP="00F1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85">
              <w:rPr>
                <w:rFonts w:ascii="Times New Roman" w:hAnsi="Times New Roman" w:cs="Times New Roman"/>
                <w:b/>
              </w:rPr>
              <w:t>Deliberação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0E2746" w:rsidRPr="00F10585" w:rsidRDefault="000E2746" w:rsidP="00F10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585">
              <w:rPr>
                <w:rFonts w:ascii="Times New Roman" w:hAnsi="Times New Roman" w:cs="Times New Roman"/>
                <w:b/>
              </w:rPr>
              <w:t>Nº do item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:rsidR="000E2746" w:rsidRPr="00F10585" w:rsidRDefault="000E2746" w:rsidP="00734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585">
              <w:rPr>
                <w:rFonts w:ascii="Times New Roman" w:hAnsi="Times New Roman" w:cs="Times New Roman"/>
                <w:b/>
              </w:rPr>
              <w:t>Descrição sucinta do item da deliberação</w:t>
            </w:r>
          </w:p>
        </w:tc>
        <w:tc>
          <w:tcPr>
            <w:tcW w:w="3378" w:type="dxa"/>
            <w:shd w:val="clear" w:color="auto" w:fill="F2F2F2" w:themeFill="background1" w:themeFillShade="F2"/>
          </w:tcPr>
          <w:p w:rsidR="000E2746" w:rsidRPr="00F10585" w:rsidRDefault="000E2746" w:rsidP="00734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585">
              <w:rPr>
                <w:rFonts w:ascii="Times New Roman" w:hAnsi="Times New Roman" w:cs="Times New Roman"/>
                <w:b/>
              </w:rPr>
              <w:t>Providências adotadas / Ações implementadas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 administração reavalie os procedimentos de cobrança e negociação de inadimplentes, a fim de aumentar a recuperação dos valores inadimplentes e garantir que as baixas realizadas após um exercício social sejam de recebíveis</w:t>
            </w:r>
            <w:r w:rsidRPr="00F10585">
              <w:rPr>
                <w:rFonts w:ascii="Times New Roman" w:hAnsi="Times New Roman" w:cs="Times New Roman"/>
              </w:rPr>
              <w:br/>
              <w:t>realmente irrecuperáveis, depois da aplicação de todos os esforços possíveis para recuperá-los.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Este regional tem envidado esforços para reduzir a inadimplência e, além dos procedimentos de cobrança citados no relatório de auditoria, é enviado mais um aviso de cobrança ao inadimplente, 30 dias antes de incluir qualquer parcela ou nota promissória no processo de baixa do ativo financeiro.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identificação e correção imediata da falha apresentada, estendendo a todos os Regionais que utilizam o SEI, como forma de evitar o risco de pagamentos indevidos</w:t>
            </w:r>
            <w:r w:rsidRPr="00F10585">
              <w:rPr>
                <w:rFonts w:ascii="Times New Roman" w:hAnsi="Times New Roman" w:cs="Times New Roman"/>
              </w:rPr>
              <w:br/>
              <w:t>e perdas financeiras à Entidade.</w:t>
            </w:r>
          </w:p>
        </w:tc>
        <w:tc>
          <w:tcPr>
            <w:tcW w:w="3378" w:type="dxa"/>
          </w:tcPr>
          <w:p w:rsidR="003905B9" w:rsidRPr="00F10585" w:rsidRDefault="00D31806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O protocolo #30725 referente a duplicação do número dos títulos foi concluído e a implantação foi realizada.</w:t>
            </w:r>
            <w:r w:rsidRPr="00F10585">
              <w:rPr>
                <w:rFonts w:ascii="Times New Roman" w:hAnsi="Times New Roman" w:cs="Times New Roman"/>
                <w:color w:val="000000"/>
              </w:rPr>
              <w:br/>
              <w:t>A partir da versão do 3.028.06 do sistema SEI, a concorrência foi corrigida.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Recomendamos: regularizar a documentação pendente, a fim de evitar multas ou sanções contra o Senac/GO e eventuais perdas quando da ocorrência de sinistros; correção do CNAE divergente no alvará do Corpo</w:t>
            </w:r>
            <w:r w:rsidRPr="00F10585">
              <w:rPr>
                <w:rFonts w:ascii="Times New Roman" w:hAnsi="Times New Roman" w:cs="Times New Roman"/>
              </w:rPr>
              <w:br/>
              <w:t>de Bombeiros do CEP/Iporá.</w:t>
            </w:r>
          </w:p>
        </w:tc>
        <w:tc>
          <w:tcPr>
            <w:tcW w:w="3378" w:type="dxa"/>
          </w:tcPr>
          <w:p w:rsidR="003905B9" w:rsidRPr="00F10585" w:rsidRDefault="004D6B27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Os documentos foram regularizados, exceto o CNAE constante do CERCOM, que se encontra em plena validade, do CEP Cora Coralina / Faculdade, que será regularizado por ocasião da renovação em 2018.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revisão do valor do aluguel pago e que o Regional utilize, para todos os contratos cujo reajuste seja realizado por indexadores determinados, o último indexador oficial disponível, evitando a falha apontada.</w:t>
            </w:r>
          </w:p>
        </w:tc>
        <w:tc>
          <w:tcPr>
            <w:tcW w:w="3378" w:type="dxa"/>
          </w:tcPr>
          <w:p w:rsidR="003905B9" w:rsidRPr="00F10585" w:rsidRDefault="004D6B27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Registramos que o índice oficial do período de abril/15 a março/16, foi de 11,57%, desta forma, para fins de regularização do referido contrato, foi realizado o ajuste dos valores mensalmente, para apuração da diferença paga a maior (conforme planilha detalhada em anexo), a qual foi descontada da locatária na última parcela referente aos dias 01/10 a 12/12/2017, o valor de R$ 359,77, referente aos Segundo e Terceiro Aditivo Contratual.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regularização do sistema e que seja verificada a parametrização de todas as contas patrimoniais que incidem depreciação.</w:t>
            </w:r>
          </w:p>
        </w:tc>
        <w:tc>
          <w:tcPr>
            <w:tcW w:w="3378" w:type="dxa"/>
          </w:tcPr>
          <w:p w:rsidR="003905B9" w:rsidRPr="00F10585" w:rsidRDefault="004D6B27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 usuário Lindomar informa que as informações e orientações foram suficientes para solução do problema, sendo assim o protocolo 28555 do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Redmine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pode ser concluído.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em caso de ciência da mudança de valor significativo da provisão das contingências prováveis, a comunicação, a conciliação e os ajustes sejam feitos de forma tempestiva entre o jurídico e a contabilidade, para que o saldo contábil seja melhor refletido.</w:t>
            </w:r>
          </w:p>
        </w:tc>
        <w:tc>
          <w:tcPr>
            <w:tcW w:w="3378" w:type="dxa"/>
          </w:tcPr>
          <w:p w:rsidR="003905B9" w:rsidRPr="00F10585" w:rsidRDefault="004D6B27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Assessoria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Juridica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alterou o valor da probabilidade de perda e a Seção de Contabilidade já efetivou os lançamentos.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2.3.1.3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ajustar o saldo contábil e atentar para a contabilização correta dos seguros contratados.</w:t>
            </w:r>
          </w:p>
        </w:tc>
        <w:tc>
          <w:tcPr>
            <w:tcW w:w="3378" w:type="dxa"/>
          </w:tcPr>
          <w:p w:rsidR="003905B9" w:rsidRPr="00F10585" w:rsidRDefault="004D6B27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O Seguro foi renovado e a Seção de Contabilidade já efetivou o lançamento de acordo com a planilha recebida da Seção de Patrimônio em consonância com a Apólice.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2.3.1.4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conciliar os saldos financeiro e contábil da respectiva conta, procedendo os devidos ajustes.</w:t>
            </w:r>
          </w:p>
        </w:tc>
        <w:tc>
          <w:tcPr>
            <w:tcW w:w="3378" w:type="dxa"/>
          </w:tcPr>
          <w:p w:rsidR="003905B9" w:rsidRPr="00F10585" w:rsidRDefault="00606C4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Foi concluída a análise e conferência dos dados, estando os saldos equivalentes no contábil e no financeiro.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2.3.2.1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 classificação dos processos judiciais seja atualizada conforme a posição atual do processo, independente da finalização do mesmo.</w:t>
            </w:r>
          </w:p>
        </w:tc>
        <w:tc>
          <w:tcPr>
            <w:tcW w:w="3378" w:type="dxa"/>
          </w:tcPr>
          <w:p w:rsidR="003905B9" w:rsidRPr="00F10585" w:rsidRDefault="008E0B08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Assessoria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Juridica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reclassificou os processos e a Seção de Contabilidade já efetivou os lançamentos.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o Regional aprimore o controle das compras diretas, adicionando informações de natureza da</w:t>
            </w:r>
            <w:r w:rsidRPr="00F10585">
              <w:rPr>
                <w:rFonts w:ascii="Times New Roman" w:hAnsi="Times New Roman" w:cs="Times New Roman"/>
              </w:rPr>
              <w:br/>
              <w:t>compra, como forma de garantir a execução de dispensas dentro dos limites previstos na legislação em vigor.</w:t>
            </w:r>
          </w:p>
        </w:tc>
        <w:tc>
          <w:tcPr>
            <w:tcW w:w="3378" w:type="dxa"/>
          </w:tcPr>
          <w:p w:rsidR="003905B9" w:rsidRPr="00F10585" w:rsidRDefault="00F558C8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Esforços foram envidados na realização de registros de preços para atender todo o Regional, bem como a realização de certames licitatórios de serviços diversos contínuos com celebração de contratos contemplando as necessidades do Regional. As pequenas compras de produtos/serviços foram minimizadas. O aprimoramento das informações atinentes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as pequenas compras com os limites previstos na legislação tem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sido feito independente do Sistema, que não contempla tais informações. O Regional, também encontra-se na etapa de planejamento atinentes a implantação do MXM, o que permitirá a melhoria das </w:t>
            </w: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>informações/controle limites no Sistema.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 administração do Regional sempre justifique as compras que não utilizam a menor proposta, de forma a respaldar sua decisão e dar maior transparência ao processo.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proposta  apresentada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pela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diseg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produtos eletrônicos para aquisição do switch 24 portas, no valor de 3.353,11, foi desclassificada, conforme julgamento em anexo, visto que não atendeu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integralidade as especificações técnicas exigidas. Em virtude disso, a proposta que atendeu a todos os requisitos previstos e foi ratificada em julgamento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técnico  foi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a proposta apresentada pela 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rcj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informática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ltda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, no valor global de r$4.378,00 (switch/módulos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gbic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/cordões duplex). Desse modo a aquisição foi feita junto ao fornecedor que apresentou o menor  valor global e atendeu as especificações técnicas.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atentar para a correta transcrição dos valores no mapa de apuração do preço médio, de forma a evitar distorções no valor da compra e possíveis perdas financeiras, quando da realização de processos licitatórios.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1) pedido de compra direta 2890/2016 registramos que a transcrição das propostas para o item switch 24 portas foi lançado com o preço global, inclusos acessórios para o seu funcionamento, ou seja, módulos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gbics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e cordões óptico duplex, os quais compõem equipamento switch.  Desse modo a transcrição dos valores para o mapa de preços está correta. 2) pedido de compra 2903 aquisição de central telefônica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pabx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para 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senac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aparecida de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goiânia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verifica-se que procede o erro de transcrição do valor da proposta ofertada pela empresa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ericom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telefomunicações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, apresentando falha no preço médio correto. Informamos que medidas foram tomadas junto aos envolvidos para evitarmos erros de transcrições de propostas de preço.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3.1.1.4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as cotações e demais informações formalizadas sejam aprimoradas nos processos de compras e</w:t>
            </w:r>
            <w:r w:rsidRPr="00F10585">
              <w:rPr>
                <w:rFonts w:ascii="Times New Roman" w:hAnsi="Times New Roman" w:cs="Times New Roman"/>
              </w:rPr>
              <w:br/>
              <w:t xml:space="preserve">que o Senac/GO busque ao menos três cotações de preços, devidamente formalizadas e respaldadas, de forma a dar aos processos </w:t>
            </w:r>
            <w:r w:rsidRPr="00F10585">
              <w:rPr>
                <w:rFonts w:ascii="Times New Roman" w:hAnsi="Times New Roman" w:cs="Times New Roman"/>
              </w:rPr>
              <w:lastRenderedPageBreak/>
              <w:t>de compras diretas maior clareza e transparência.</w:t>
            </w:r>
          </w:p>
        </w:tc>
        <w:tc>
          <w:tcPr>
            <w:tcW w:w="3378" w:type="dxa"/>
          </w:tcPr>
          <w:p w:rsidR="003905B9" w:rsidRPr="00F10585" w:rsidRDefault="00997131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 xml:space="preserve">Destacamos que as cotações e demais informações formalizadas foram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aprimorados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e os processos simplificados estão sendo realizados com no mínimo 03 cotações válidas. Na impossibilidade de se obter o mínimo de propostas, estão sendo consignados nos pedidos as justificativas pertinentes, nos </w:t>
            </w: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>termos do Regulamento de Licitações e Contratos em vigor.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os valores de referência estejam devidamente formalizados, informando à fonte que originou os valores orçados, de forma a evitar questionamentos por parte dos órgãos de controle.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 estimativa deste processo foi obtida com base no contrato vigente.  Informamos que será acatada a recomendação para contratações futuras.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todos os processos licitatórios sejam homologados e adjudicados pela autoridade competente, conforme norma interna.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Informamos que foi proposto o ajuste nos processos citados para inclusão das expressões "homologação" ou "adjudicação". Para os processos anteriores os mesmos serão sempre conferidos previamente.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3.1.2.3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todas as aquisições estejam de acordo com os valores estimados e que as exceções estejam devidamente justificadas e autorizadas, anexando-as ao processo licitatório.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No processo 012/2016 - o valor final da licitação ficou abaixo da estimativa inicial (valor global). O regulamento de licitações quando se refere a modalidade convite não prevê a negociação pós abertura das propostas comerciais.  No entanto,  a inclusão de dispositivos no edital convite poderá ser avaliado e apreciado pela assessoria jurídica.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3.1.2.4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 documentação exigida em edital seja devidamente entregue.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processo  012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/2016 - consta contrato social autenticado e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copia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simples do sócio da empresa.  O processo 271/2016 consta cópia autêntica do representante da empresa e o contrato social apresentado tem previsão de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validação  no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site da junta comercial do estado de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goias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, através de protocolo e código de segurança. Registramos que medidas para evidenciar a conferencia da comissão no site foi adotada para coibir outras ocorrências.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3.1.2.5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observar a</w:t>
            </w:r>
            <w:r w:rsidRPr="00F10585">
              <w:rPr>
                <w:rFonts w:ascii="Times New Roman" w:hAnsi="Times New Roman" w:cs="Times New Roman"/>
              </w:rPr>
              <w:br/>
              <w:t>Resolução 958/2012.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informamos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na modalidade convite,  quando esta não atinge o número previsto no artigo 5º, inciso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ii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, é necessário obter a ratificação da autoridade competente para prosseguimento do certame. as ocorrências citadas são casos pontuais, os quais  serão reforçados junto aos envolvidos para coibir homologação e adjudicação do certame sem mencionar a ratificação do convite com as propostas obtidas.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3.1.3.1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analisar com a Assessoria Jurídica a inclusão de uma cláusula contratual para os futuros contratos de serviços com o objetivo de inibir as rescisões antecipadas devido a causas já previamente estabelecidas e acordadas,</w:t>
            </w:r>
            <w:r w:rsidRPr="00F10585">
              <w:rPr>
                <w:rFonts w:ascii="Times New Roman" w:hAnsi="Times New Roman" w:cs="Times New Roman"/>
              </w:rPr>
              <w:br/>
              <w:t>visando uma maior proteção aos interesses do Senac GO.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Para as contratações futuras será solicitado a assessoria jurídica, por ocasião da aprovação do edital e minuta do contrato, a inclusão da cláusula visando inibir rescisões antecipadas e proteger os interesses do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senac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3.2.1.4.1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seja procedido um ajuste na parametrização do sistema de folha de pagamento, para que nos cálculos das rescisões ocorridas no mês de fevereiro, a quantidade de dias seja de 28</w:t>
            </w:r>
            <w:r w:rsidRPr="00F10585">
              <w:rPr>
                <w:rFonts w:ascii="Times New Roman" w:hAnsi="Times New Roman" w:cs="Times New Roman"/>
              </w:rPr>
              <w:br/>
              <w:t>ou 29 dias, evitando assim prejuízo ao empregado.</w:t>
            </w:r>
          </w:p>
        </w:tc>
        <w:tc>
          <w:tcPr>
            <w:tcW w:w="3378" w:type="dxa"/>
          </w:tcPr>
          <w:p w:rsidR="003905B9" w:rsidRPr="00F10585" w:rsidRDefault="003A1A4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Foi realizada a parametrização do sistema de folha de pagamento, conforme especificado.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observar a legislação vigente.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Os servidores citados não tinham expediente nas datas, não infringindo a legislação. As horas ocorreram aos sábados: *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elizangela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inês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bagestâo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-26/10/16; *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jorge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araujo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da silva - 04/06;06/08 e 03/12/16; * patrícia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flávia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rodrigues de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moraes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- 09/04/16; *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diego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dias vieira - 17/12/16. Nos demais casos será reforçado as orientações existentes.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3.2.3.1.1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observar a data de publicação do anúncio, para que essa etapa ocorra antes da abertura das inscrições, promovendo maior abrangência e competitividade.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divulgação das vagas é realizada em diversos veículos: site do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senac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, internet, jornal, rádio, etc. No caso de jornal procuramos veicular  em dias que melhor atinja o público alvo e analisamos o custo benefício da publicação.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3.2.3.1.2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aprimorar os controles nos processos de seleção de pessoal, de modo a: identificar os casos de ausência de documentos obrigatórios, dando a oportunidade de regularização antes do final das inscrições; permitir a continuidade de participação apenas de candidatos que atenderem todas as exigências do edital.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Os candidatos apresentaram a documentação no ato da inscrição. No decorrer do processo seletivo foi solicitado que atualizassem os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docs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citados.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3.2.3.1.3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 xml:space="preserve">Recomendamos obter posicionamento formal do Departamento Nacional, </w:t>
            </w:r>
            <w:r w:rsidRPr="00F10585">
              <w:rPr>
                <w:rFonts w:ascii="Times New Roman" w:hAnsi="Times New Roman" w:cs="Times New Roman"/>
              </w:rPr>
              <w:lastRenderedPageBreak/>
              <w:t>quanto a legalidade da cobrança de taxas para inscrição em processo seletivo, uma vez que</w:t>
            </w:r>
            <w:r w:rsidRPr="00F10585">
              <w:rPr>
                <w:rFonts w:ascii="Times New Roman" w:hAnsi="Times New Roman" w:cs="Times New Roman"/>
              </w:rPr>
              <w:br/>
              <w:t>não há previsão nas Resoluções Senac 1018/2015 e 875/2008, que estabelece normas de processo seletivo para contratação de empregados, pois tal procedimento pode vir a reduzir o número de candidatos nos processos seletivos.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 xml:space="preserve">Na resolução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senac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nº 1018/2015, não há proibição expressa de cobrança de taxa para processos </w:t>
            </w: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>seletivos. Existe um custo significativo de material para a realização das seleções. Entretanto para cargos operacionais - são isentos. Nos demais as taxas são reguladas por ato próprio.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3.2.3.2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revisar a redação da cláusula mencionada, evitando ambiguidade de interpretação.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luz do disposto no inciso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xiii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do art. 7º da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cf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, a duração do trabalho normal é de 44 horas semanais e de 8 horas diárias, entendendo assim que as horas excedentes não podem ultrapassar a 2 diárias ou ao limite de 10 horas diárias. Isto está pacificado, através do art. 59 da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clt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. Se o acordo coletivo de trabalho versa amparo nas horas extras excedentes de 02 quando realizadas, refere-se as horas realizadas em dia que não há expediente normal de trabalho, entendendo assim que não infringimos o disposto na legislação.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implantação imediata das melhorias necessárias para garantir um ambiente mais adequado aos ativos tecnológicos do Regional.</w:t>
            </w:r>
          </w:p>
        </w:tc>
        <w:tc>
          <w:tcPr>
            <w:tcW w:w="3378" w:type="dxa"/>
          </w:tcPr>
          <w:p w:rsidR="003905B9" w:rsidRPr="00F10585" w:rsidRDefault="003A1A4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 coordenação de tecnologia da informação irá providenciar as correções e alterações necessárias visando a adequação do ambiente reservado para hospedar os equipamentos servidores e de comunicação, conforme recomendações. Prazo: Julho/2018.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estudos de viabilidade para atualização do parque computacional, como forma de oferecer infraestrutura tecnológica adequada ao desenvolvimento das atividades corporativas, e a manutenção</w:t>
            </w:r>
            <w:r w:rsidRPr="00F10585">
              <w:rPr>
                <w:rFonts w:ascii="Times New Roman" w:hAnsi="Times New Roman" w:cs="Times New Roman"/>
              </w:rPr>
              <w:br/>
              <w:t>da qualidade dos cursos Senac junto a sua clientela.</w:t>
            </w:r>
          </w:p>
        </w:tc>
        <w:tc>
          <w:tcPr>
            <w:tcW w:w="3378" w:type="dxa"/>
          </w:tcPr>
          <w:p w:rsidR="003905B9" w:rsidRPr="00F10585" w:rsidRDefault="003A1A4B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O regional goiás juntamente com os regionais membros do núcleo de desenvolvimento corporativo das regiões norte e centro-oeste estão trabalhando na padronização das especificações técnicas de equipamentos de t.i., e assim que esta padronização estiver concluída, iremos adquirir novos microcomputadores. Prazo: Julho/2018.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3.4.3.1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definição da data de assinatura do referido acordo.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 acordo de cooperação técnica para utilização de sistemas integrados de gestão no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senac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possui o anexo "termo de adesão ao acordo de cooperação técnica" onde </w:t>
            </w: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>expressa a data 01 de janeiro de 2017 para entrar em vigor.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3.4.3.2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o atendimento dos chamados em abertos, junto aos Departamentos Regionais, mantendo somente os</w:t>
            </w:r>
            <w:r w:rsidRPr="00F10585">
              <w:rPr>
                <w:rFonts w:ascii="Times New Roman" w:hAnsi="Times New Roman" w:cs="Times New Roman"/>
              </w:rPr>
              <w:br/>
              <w:t>essenciais para o funcionamento do sistema e atendimento das exigências normativas e legais.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Através de uma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webconferência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com os gestores de TI dos regionais BA, CE, DF, GO, MT, SC, SE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e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 xml:space="preserve"> PI, no dia 14/09/2017, foi comunicando a migração do sistema de acompanhamento de protocolos (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Redmine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) para um novo sistema (JIRA). O novo sistema implantado teve suas atividades iniciadas em 25/09/2017 onde acordou-se com os regionais utilizadores que não será realizado procedimento de migração de solicitações do antigo sistema, cabendo a estes regionais, a partir do dia 18/09, o cadastramento de novos protocolos de acordo com a real necessidade e escopo definido no Acordo de Utilização de Sistemas Integrados de Gestão.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3.4.3.3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o desenvolvimento e implantação das melhorias necessárias, visando facilitar e aperfeiçoar dos controles do SEI.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Anexado o arquivo 3.4.3.3 - Falhas de Controle Sistêmico v3.pdf com respostas as múltiplas letras, demonstrando atendimento.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analisar as inconsistências identificadas e ajustar as informações divulgadas nos relatórios.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 recomendação encontra-se atendida.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4.1.1.3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realização de pesquisas, no intuito de identificar os motivos que motivaram as evasões dos cursos ministrados pelo Senac/GO, de modo a implantar medidas corretivas para</w:t>
            </w:r>
            <w:r w:rsidRPr="00F10585">
              <w:rPr>
                <w:rFonts w:ascii="Times New Roman" w:hAnsi="Times New Roman" w:cs="Times New Roman"/>
              </w:rPr>
              <w:br/>
              <w:t>redução desse índice e melhorar o atendimento ao cliente.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Foi implementado um relatório mensal para o acompanhamento do índice de evasão e desistência e quais as principais causas que levaram o aluno a evadir/desistir do curso. Esse relatório, informa o índice de evasão/desistência e suas causas por Unidade, Tipo, Segmento de Curso e Recurso (PSG/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Pronatec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>/Comercial), para que cada Unidade possa implementar uma ação mais efetiva.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inclusão de todos os campos cadastrais do aluno no momento de sua matrícula.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O protocolo 30759 foi atendido no sistema sei para que não seja possível o cadastro ou matrícula de alunos sem que todos os campos obrigatórios estejam preenchidos de forma correta. a equipe de atendimento também foi orientada e a assessoria de planejamento irá realizar mensalmente uma verificação na relação de alunos matriculados a fim de solicitar a </w:t>
            </w:r>
            <w:r w:rsidRPr="00F10585">
              <w:rPr>
                <w:rFonts w:ascii="Times New Roman" w:hAnsi="Times New Roman" w:cs="Times New Roman"/>
                <w:color w:val="000000"/>
              </w:rPr>
              <w:lastRenderedPageBreak/>
              <w:t>correção das informações que mesmo com todas as providências tomadas ainda estejam em desconformidade.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lastRenderedPageBreak/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4.1.3.2.1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a conciliação e ajuste dos saldos de PSG.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A diferença ocorreu por conta de divergência na carga horária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ead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informada pelos </w:t>
            </w:r>
            <w:proofErr w:type="gramStart"/>
            <w:r w:rsidRPr="00F10585">
              <w:rPr>
                <w:rFonts w:ascii="Times New Roman" w:hAnsi="Times New Roman" w:cs="Times New Roman"/>
                <w:color w:val="000000"/>
              </w:rPr>
              <w:t>regionais sede</w:t>
            </w:r>
            <w:proofErr w:type="gramEnd"/>
            <w:r w:rsidRPr="00F10585">
              <w:rPr>
                <w:rFonts w:ascii="Times New Roman" w:hAnsi="Times New Roman" w:cs="Times New Roman"/>
                <w:color w:val="000000"/>
              </w:rPr>
              <w:t>. Porém foi identificada e ajustada no mês 03/2017.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Sugerimos que o Senac busque avaliar a relação aluno contratado x aluno encaminhado ao mercado de trabalho, identificando os principais motivos para a não efetivação.</w:t>
            </w:r>
          </w:p>
        </w:tc>
        <w:tc>
          <w:tcPr>
            <w:tcW w:w="3378" w:type="dxa"/>
          </w:tcPr>
          <w:p w:rsidR="003905B9" w:rsidRPr="00F10585" w:rsidRDefault="00346402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Todos esforços estão sendo envidados para obter as informações das contratações dos encaminhados pelo Banco de Oportunidades às empresas. O Sistema passou por uma atualização e contribuirá também para melhor acompanhamento junto as empresas.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as folhas de ponto sejam assinadas pelo empregado, a fim de resguardar a entidade quanto aos lançamentos em folha de pagamento baseados nos registrados de ponto.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 xml:space="preserve">Todos os cartões de ponto em poder da seção de pessoal, estão assinados pelos servidores. Na unidade de </w:t>
            </w:r>
            <w:proofErr w:type="spellStart"/>
            <w:r w:rsidRPr="00F10585">
              <w:rPr>
                <w:rFonts w:ascii="Times New Roman" w:hAnsi="Times New Roman" w:cs="Times New Roman"/>
                <w:color w:val="000000"/>
              </w:rPr>
              <w:t>anápolis</w:t>
            </w:r>
            <w:proofErr w:type="spellEnd"/>
            <w:r w:rsidRPr="00F10585">
              <w:rPr>
                <w:rFonts w:ascii="Times New Roman" w:hAnsi="Times New Roman" w:cs="Times New Roman"/>
                <w:color w:val="000000"/>
              </w:rPr>
              <w:t xml:space="preserve"> o registro dos mensalistas é feito em cartões, existe somente um espaço para assinatura, que é feita no último registro do último dia do mês.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5.3.1.1.1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as matrículas sejam suportadas por todos os documentos exigidos nas Diretrizes e procedimentos internos.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As unidades foram formalmente reorientadas quanto a necessidade de receber tempestivamente os documentos dos alunos, conforme normas.</w:t>
            </w:r>
          </w:p>
        </w:tc>
      </w:tr>
      <w:tr w:rsidR="003905B9" w:rsidRPr="00F10585" w:rsidTr="00D63E39">
        <w:tc>
          <w:tcPr>
            <w:tcW w:w="1405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</w:rPr>
            </w:pPr>
            <w:r w:rsidRPr="00F10585">
              <w:rPr>
                <w:rFonts w:ascii="Times New Roman" w:hAnsi="Times New Roman" w:cs="Times New Roman"/>
              </w:rPr>
              <w:t>Relatório Conselho Fiscal/2017</w:t>
            </w:r>
          </w:p>
        </w:tc>
        <w:tc>
          <w:tcPr>
            <w:tcW w:w="917" w:type="dxa"/>
          </w:tcPr>
          <w:p w:rsidR="003905B9" w:rsidRPr="00F10585" w:rsidRDefault="003905B9" w:rsidP="00F105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5.3.1.1.2</w:t>
            </w:r>
          </w:p>
        </w:tc>
        <w:tc>
          <w:tcPr>
            <w:tcW w:w="2794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</w:rPr>
              <w:t>Recomendamos que a Unidade passe a cobrar das empresas contratantes os respectivos contratos de aprendizagem pactuados com os alunos, como forma de atender as Diretrizes de Aprendizagem e evidenciar que todas as cláusulas contratuais não desrespeitam a legislação.</w:t>
            </w:r>
          </w:p>
        </w:tc>
        <w:tc>
          <w:tcPr>
            <w:tcW w:w="3378" w:type="dxa"/>
          </w:tcPr>
          <w:p w:rsidR="003905B9" w:rsidRPr="00F10585" w:rsidRDefault="003905B9" w:rsidP="00734C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585">
              <w:rPr>
                <w:rFonts w:ascii="Times New Roman" w:hAnsi="Times New Roman" w:cs="Times New Roman"/>
                <w:color w:val="000000"/>
              </w:rPr>
              <w:t>As unidades foram formalmente reorientadas quanto a necessidade de receber o contrato de aprendizagem formalizado entre a empresa e o aluno conforme preconiza a diretriz.</w:t>
            </w:r>
          </w:p>
        </w:tc>
      </w:tr>
    </w:tbl>
    <w:p w:rsidR="000E2746" w:rsidRPr="00F10585" w:rsidRDefault="000E2746" w:rsidP="00734CE3">
      <w:pPr>
        <w:jc w:val="both"/>
        <w:rPr>
          <w:rFonts w:ascii="Times New Roman" w:hAnsi="Times New Roman" w:cs="Times New Roman"/>
        </w:rPr>
      </w:pPr>
    </w:p>
    <w:sectPr w:rsidR="000E2746" w:rsidRPr="00F10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96" w:rsidRDefault="00604996" w:rsidP="003E13D7">
      <w:pPr>
        <w:spacing w:after="0" w:line="240" w:lineRule="auto"/>
      </w:pPr>
      <w:r>
        <w:separator/>
      </w:r>
    </w:p>
  </w:endnote>
  <w:end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96" w:rsidRDefault="00604996" w:rsidP="003E13D7">
      <w:pPr>
        <w:spacing w:after="0" w:line="240" w:lineRule="auto"/>
      </w:pPr>
      <w:r>
        <w:separator/>
      </w:r>
    </w:p>
  </w:footnote>
  <w:foot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6" w:rsidRPr="00F10585" w:rsidRDefault="00604996" w:rsidP="003E13D7">
    <w:pPr>
      <w:shd w:val="clear" w:color="auto" w:fill="D9D9D9" w:themeFill="background1" w:themeFillShade="D9"/>
      <w:rPr>
        <w:rFonts w:ascii="Times New Roman" w:hAnsi="Times New Roman" w:cs="Times New Roman"/>
        <w:b/>
      </w:rPr>
    </w:pPr>
    <w:r w:rsidRPr="00F10585">
      <w:rPr>
        <w:rFonts w:ascii="Times New Roman" w:hAnsi="Times New Roman" w:cs="Times New Roman"/>
        <w:b/>
      </w:rPr>
      <w:t>Dados para o Relatório de Gestão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023"/>
    <w:multiLevelType w:val="multilevel"/>
    <w:tmpl w:val="548E5F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6"/>
    <w:rsid w:val="0000039E"/>
    <w:rsid w:val="0001121C"/>
    <w:rsid w:val="00021568"/>
    <w:rsid w:val="0003260D"/>
    <w:rsid w:val="0004171E"/>
    <w:rsid w:val="00072585"/>
    <w:rsid w:val="000E2746"/>
    <w:rsid w:val="000E7651"/>
    <w:rsid w:val="0017651C"/>
    <w:rsid w:val="00192053"/>
    <w:rsid w:val="00196434"/>
    <w:rsid w:val="002038B5"/>
    <w:rsid w:val="002062FB"/>
    <w:rsid w:val="00217221"/>
    <w:rsid w:val="00254A81"/>
    <w:rsid w:val="0027378E"/>
    <w:rsid w:val="002746AA"/>
    <w:rsid w:val="0028601E"/>
    <w:rsid w:val="00286D53"/>
    <w:rsid w:val="00290371"/>
    <w:rsid w:val="00291A02"/>
    <w:rsid w:val="002B7A27"/>
    <w:rsid w:val="002D17DC"/>
    <w:rsid w:val="00303D51"/>
    <w:rsid w:val="00346402"/>
    <w:rsid w:val="003676F5"/>
    <w:rsid w:val="003905B9"/>
    <w:rsid w:val="003927C1"/>
    <w:rsid w:val="003A1A4B"/>
    <w:rsid w:val="003A782F"/>
    <w:rsid w:val="003D5146"/>
    <w:rsid w:val="003E13D7"/>
    <w:rsid w:val="003E4279"/>
    <w:rsid w:val="003F775F"/>
    <w:rsid w:val="004034C8"/>
    <w:rsid w:val="0041439B"/>
    <w:rsid w:val="00424ECD"/>
    <w:rsid w:val="004335D2"/>
    <w:rsid w:val="00466378"/>
    <w:rsid w:val="004C178D"/>
    <w:rsid w:val="004D2CEC"/>
    <w:rsid w:val="004D6B27"/>
    <w:rsid w:val="004E0089"/>
    <w:rsid w:val="00567841"/>
    <w:rsid w:val="005A3465"/>
    <w:rsid w:val="00604996"/>
    <w:rsid w:val="00606C42"/>
    <w:rsid w:val="00611633"/>
    <w:rsid w:val="0065436A"/>
    <w:rsid w:val="00654D7C"/>
    <w:rsid w:val="00697B05"/>
    <w:rsid w:val="0070102D"/>
    <w:rsid w:val="0070419E"/>
    <w:rsid w:val="00731B9C"/>
    <w:rsid w:val="00734CE3"/>
    <w:rsid w:val="007365D4"/>
    <w:rsid w:val="0074707D"/>
    <w:rsid w:val="00747C7C"/>
    <w:rsid w:val="0076325C"/>
    <w:rsid w:val="00770709"/>
    <w:rsid w:val="007773A6"/>
    <w:rsid w:val="007C0C06"/>
    <w:rsid w:val="00804A45"/>
    <w:rsid w:val="0082194A"/>
    <w:rsid w:val="0082601F"/>
    <w:rsid w:val="00832AFC"/>
    <w:rsid w:val="00893C2E"/>
    <w:rsid w:val="008E0B08"/>
    <w:rsid w:val="0091198B"/>
    <w:rsid w:val="009224B3"/>
    <w:rsid w:val="00945A87"/>
    <w:rsid w:val="00971D90"/>
    <w:rsid w:val="0098028A"/>
    <w:rsid w:val="009813BC"/>
    <w:rsid w:val="00997131"/>
    <w:rsid w:val="00A244D8"/>
    <w:rsid w:val="00A54A24"/>
    <w:rsid w:val="00A6732C"/>
    <w:rsid w:val="00A86EF7"/>
    <w:rsid w:val="00A87CE6"/>
    <w:rsid w:val="00AA4D33"/>
    <w:rsid w:val="00AD66F4"/>
    <w:rsid w:val="00AE1F4C"/>
    <w:rsid w:val="00AE36FD"/>
    <w:rsid w:val="00B03A07"/>
    <w:rsid w:val="00B1770B"/>
    <w:rsid w:val="00B35179"/>
    <w:rsid w:val="00B85179"/>
    <w:rsid w:val="00BA1B08"/>
    <w:rsid w:val="00C06390"/>
    <w:rsid w:val="00C8070B"/>
    <w:rsid w:val="00CA6759"/>
    <w:rsid w:val="00CC1494"/>
    <w:rsid w:val="00CE08C8"/>
    <w:rsid w:val="00CE3A45"/>
    <w:rsid w:val="00CF7B2A"/>
    <w:rsid w:val="00D31806"/>
    <w:rsid w:val="00D63E39"/>
    <w:rsid w:val="00D8161B"/>
    <w:rsid w:val="00D87603"/>
    <w:rsid w:val="00DF6890"/>
    <w:rsid w:val="00E16897"/>
    <w:rsid w:val="00E67DCC"/>
    <w:rsid w:val="00EB6D5E"/>
    <w:rsid w:val="00EC566D"/>
    <w:rsid w:val="00F10585"/>
    <w:rsid w:val="00F558C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5CA8"/>
  <w15:chartTrackingRefBased/>
  <w15:docId w15:val="{860D4DAA-C1AE-4667-B375-F35E1E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D7"/>
  </w:style>
  <w:style w:type="paragraph" w:styleId="Rodap">
    <w:name w:val="footer"/>
    <w:basedOn w:val="Normal"/>
    <w:link w:val="Rodap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D7"/>
  </w:style>
  <w:style w:type="paragraph" w:customStyle="1" w:styleId="Default">
    <w:name w:val="Default"/>
    <w:rsid w:val="00A6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CU-Ac-item9-1Linha">
    <w:name w:val="TCU -  Ac - item 9 - 1ª Linha"/>
    <w:basedOn w:val="Normal"/>
    <w:qFormat/>
    <w:rsid w:val="00AA4D33"/>
    <w:pPr>
      <w:tabs>
        <w:tab w:val="left" w:pos="1134"/>
      </w:tabs>
      <w:autoSpaceDE w:val="0"/>
      <w:autoSpaceDN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Normal0">
    <w:name w:val="#Normal"/>
    <w:rsid w:val="00AA4D33"/>
    <w:pPr>
      <w:spacing w:before="120" w:after="120" w:line="240" w:lineRule="auto"/>
      <w:ind w:firstLine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ordao-VISTOS-em-diante">
    <w:name w:val="#Acordao-VISTOS-em-diante"/>
    <w:uiPriority w:val="99"/>
    <w:rsid w:val="00AA4D33"/>
    <w:pPr>
      <w:spacing w:before="120"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3026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Girsei Severino de Paula</dc:creator>
  <cp:keywords/>
  <dc:description/>
  <cp:lastModifiedBy>Girsei Severino de Paula</cp:lastModifiedBy>
  <cp:revision>4</cp:revision>
  <dcterms:created xsi:type="dcterms:W3CDTF">2018-02-28T13:07:00Z</dcterms:created>
  <dcterms:modified xsi:type="dcterms:W3CDTF">2018-02-28T13:21:00Z</dcterms:modified>
</cp:coreProperties>
</file>